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6349" w14:textId="77777777" w:rsidR="008B75C9" w:rsidRDefault="00000000">
      <w:pPr>
        <w:spacing w:after="0"/>
        <w:ind w:left="10" w:right="-15" w:hanging="10"/>
        <w:jc w:val="right"/>
      </w:pPr>
      <w:r>
        <w:rPr>
          <w:rFonts w:ascii="Times New Roman" w:eastAsia="Times New Roman" w:hAnsi="Times New Roman" w:cs="Times New Roman"/>
          <w:b/>
          <w:sz w:val="18"/>
        </w:rPr>
        <w:t>Filed Pursuant to Rule 424(b)(2)</w:t>
      </w:r>
    </w:p>
    <w:p w14:paraId="232DC734" w14:textId="77777777" w:rsidR="008B75C9" w:rsidRDefault="00000000">
      <w:pPr>
        <w:spacing w:after="0"/>
        <w:ind w:left="10" w:right="-15" w:hanging="10"/>
        <w:jc w:val="right"/>
      </w:pPr>
      <w:r>
        <w:rPr>
          <w:rFonts w:ascii="Times New Roman" w:eastAsia="Times New Roman" w:hAnsi="Times New Roman" w:cs="Times New Roman"/>
          <w:b/>
          <w:sz w:val="18"/>
        </w:rPr>
        <w:t>Registration No. 333-287868</w:t>
      </w:r>
    </w:p>
    <w:p w14:paraId="2E3FEE02" w14:textId="77777777" w:rsidR="008B75C9" w:rsidRDefault="00000000">
      <w:pPr>
        <w:spacing w:after="0"/>
      </w:pPr>
      <w:r>
        <w:rPr>
          <w:rFonts w:ascii="Times New Roman" w:eastAsia="Times New Roman" w:hAnsi="Times New Roman" w:cs="Times New Roman"/>
          <w:sz w:val="14"/>
        </w:rPr>
        <w:t xml:space="preserve"> </w:t>
      </w:r>
    </w:p>
    <w:p w14:paraId="659A8D94" w14:textId="77777777" w:rsidR="008B75C9" w:rsidRDefault="00000000">
      <w:pPr>
        <w:spacing w:after="9"/>
      </w:pPr>
      <w:r>
        <w:rPr>
          <w:rFonts w:ascii="Times New Roman" w:eastAsia="Times New Roman" w:hAnsi="Times New Roman" w:cs="Times New Roman"/>
          <w:sz w:val="14"/>
        </w:rPr>
        <w:t xml:space="preserve"> </w:t>
      </w:r>
    </w:p>
    <w:p w14:paraId="75365236" w14:textId="77777777" w:rsidR="008B75C9" w:rsidRDefault="00000000">
      <w:pPr>
        <w:spacing w:after="4" w:line="254" w:lineRule="auto"/>
        <w:ind w:left="3588" w:right="3578" w:hanging="10"/>
        <w:jc w:val="center"/>
      </w:pPr>
      <w:r>
        <w:rPr>
          <w:rFonts w:ascii="Times New Roman" w:eastAsia="Times New Roman" w:hAnsi="Times New Roman" w:cs="Times New Roman"/>
          <w:sz w:val="18"/>
        </w:rPr>
        <w:t>Pricing Supplement No. 3 dated September 8, 2025</w:t>
      </w:r>
    </w:p>
    <w:p w14:paraId="3FFCCD97" w14:textId="77777777" w:rsidR="008B75C9" w:rsidRDefault="00000000">
      <w:pPr>
        <w:spacing w:after="103" w:line="254" w:lineRule="auto"/>
        <w:ind w:left="3588" w:right="3578" w:hanging="10"/>
        <w:jc w:val="center"/>
      </w:pPr>
      <w:r>
        <w:rPr>
          <w:rFonts w:ascii="Times New Roman" w:eastAsia="Times New Roman" w:hAnsi="Times New Roman" w:cs="Times New Roman"/>
          <w:sz w:val="18"/>
        </w:rPr>
        <w:t xml:space="preserve">(to Prospectus Supplement dated August 28, </w:t>
      </w:r>
      <w:proofErr w:type="gramStart"/>
      <w:r>
        <w:rPr>
          <w:rFonts w:ascii="Times New Roman" w:eastAsia="Times New Roman" w:hAnsi="Times New Roman" w:cs="Times New Roman"/>
          <w:sz w:val="18"/>
        </w:rPr>
        <w:t>2025</w:t>
      </w:r>
      <w:proofErr w:type="gramEnd"/>
      <w:r>
        <w:rPr>
          <w:rFonts w:ascii="Times New Roman" w:eastAsia="Times New Roman" w:hAnsi="Times New Roman" w:cs="Times New Roman"/>
          <w:sz w:val="18"/>
        </w:rPr>
        <w:t xml:space="preserve"> and Prospectus dated August 28, 2025)</w:t>
      </w:r>
    </w:p>
    <w:p w14:paraId="6067E9F4" w14:textId="77777777" w:rsidR="008B75C9" w:rsidRDefault="00000000">
      <w:pPr>
        <w:spacing w:after="99"/>
        <w:ind w:left="10" w:hanging="10"/>
        <w:jc w:val="center"/>
      </w:pPr>
      <w:r>
        <w:rPr>
          <w:rFonts w:ascii="Times New Roman" w:eastAsia="Times New Roman" w:hAnsi="Times New Roman" w:cs="Times New Roman"/>
          <w:b/>
          <w:sz w:val="18"/>
        </w:rPr>
        <w:t>WELLS FARGO &amp; COMPANY</w:t>
      </w:r>
    </w:p>
    <w:p w14:paraId="0D871627" w14:textId="77777777" w:rsidR="008B75C9" w:rsidRDefault="00000000">
      <w:pPr>
        <w:spacing w:after="0"/>
        <w:ind w:left="10" w:hanging="10"/>
        <w:jc w:val="center"/>
      </w:pPr>
      <w:r>
        <w:rPr>
          <w:rFonts w:ascii="Times New Roman" w:eastAsia="Times New Roman" w:hAnsi="Times New Roman" w:cs="Times New Roman"/>
          <w:b/>
          <w:sz w:val="18"/>
        </w:rPr>
        <w:t>Medium-Term Notes, Series Y</w:t>
      </w:r>
    </w:p>
    <w:p w14:paraId="126987D9" w14:textId="77777777" w:rsidR="008B75C9" w:rsidRDefault="00000000">
      <w:pPr>
        <w:spacing w:after="207"/>
        <w:ind w:left="10" w:hanging="10"/>
        <w:jc w:val="center"/>
      </w:pPr>
      <w:r>
        <w:rPr>
          <w:rFonts w:ascii="Times New Roman" w:eastAsia="Times New Roman" w:hAnsi="Times New Roman" w:cs="Times New Roman"/>
          <w:b/>
          <w:sz w:val="18"/>
        </w:rPr>
        <w:t>Senior Redeemable Fixed-to-Floating Rate Notes</w:t>
      </w:r>
    </w:p>
    <w:p w14:paraId="758D53B7" w14:textId="77777777" w:rsidR="008B75C9" w:rsidRDefault="00000000">
      <w:pPr>
        <w:spacing w:after="27" w:line="249" w:lineRule="auto"/>
      </w:pPr>
      <w:r>
        <w:rPr>
          <w:rFonts w:ascii="Times New Roman" w:eastAsia="Times New Roman" w:hAnsi="Times New Roman" w:cs="Times New Roman"/>
          <w:b/>
          <w:i/>
          <w:sz w:val="18"/>
        </w:rPr>
        <w:t>You should read the more detailed description of the notes provided under “Description of Notes” in the accompanying prospectus supplement and “Description of Debt Securities” in the accompanying prospectus, as supplemented by this pricing supplement. The notes are unsecured obligations of Wells Fargo &amp; Company (the “</w:t>
      </w:r>
      <w:r>
        <w:rPr>
          <w:rFonts w:ascii="Times New Roman" w:eastAsia="Times New Roman" w:hAnsi="Times New Roman" w:cs="Times New Roman"/>
          <w:b/>
          <w:i/>
          <w:sz w:val="18"/>
          <w:u w:val="single" w:color="000000"/>
        </w:rPr>
        <w:t>Company</w:t>
      </w:r>
      <w:r>
        <w:rPr>
          <w:rFonts w:ascii="Times New Roman" w:eastAsia="Times New Roman" w:hAnsi="Times New Roman" w:cs="Times New Roman"/>
          <w:b/>
          <w:i/>
          <w:sz w:val="18"/>
        </w:rPr>
        <w:t xml:space="preserve">”), and all payments on the notes are subject to the credit risk of the Company. If the Company defaults on its obligations, you could lose some or </w:t>
      </w:r>
      <w:proofErr w:type="gramStart"/>
      <w:r>
        <w:rPr>
          <w:rFonts w:ascii="Times New Roman" w:eastAsia="Times New Roman" w:hAnsi="Times New Roman" w:cs="Times New Roman"/>
          <w:b/>
          <w:i/>
          <w:sz w:val="18"/>
        </w:rPr>
        <w:t>all of</w:t>
      </w:r>
      <w:proofErr w:type="gramEnd"/>
      <w:r>
        <w:rPr>
          <w:rFonts w:ascii="Times New Roman" w:eastAsia="Times New Roman" w:hAnsi="Times New Roman" w:cs="Times New Roman"/>
          <w:b/>
          <w:i/>
          <w:sz w:val="18"/>
        </w:rPr>
        <w:t xml:space="preserve"> your investment. The notes are not savings accounts, deposits or other obligations of any bank or nonbank subsidiary of the Company and are not insured by the Federal Deposit Insurance Corporation, the Deposit Insurance Fund or any other governmental agency. Certain defined terms used but not defined herein have the meanings set forth in the accompanying prospectus supplement and prospectus.</w:t>
      </w:r>
    </w:p>
    <w:p w14:paraId="49D1830C" w14:textId="77777777" w:rsidR="008B75C9" w:rsidRDefault="00000000">
      <w:pPr>
        <w:spacing w:after="0"/>
      </w:pPr>
      <w:r>
        <w:rPr>
          <w:rFonts w:ascii="Times New Roman" w:eastAsia="Times New Roman" w:hAnsi="Times New Roman" w:cs="Times New Roman"/>
        </w:rPr>
        <w:t xml:space="preserve"> </w:t>
      </w:r>
    </w:p>
    <w:tbl>
      <w:tblPr>
        <w:tblStyle w:val="TableGrid"/>
        <w:tblW w:w="10993" w:type="dxa"/>
        <w:tblInd w:w="0" w:type="dxa"/>
        <w:tblCellMar>
          <w:top w:w="0" w:type="dxa"/>
          <w:left w:w="0" w:type="dxa"/>
          <w:bottom w:w="0" w:type="dxa"/>
          <w:right w:w="0" w:type="dxa"/>
        </w:tblCellMar>
        <w:tblLook w:val="04A0" w:firstRow="1" w:lastRow="0" w:firstColumn="1" w:lastColumn="0" w:noHBand="0" w:noVBand="1"/>
      </w:tblPr>
      <w:tblGrid>
        <w:gridCol w:w="3632"/>
        <w:gridCol w:w="220"/>
        <w:gridCol w:w="7141"/>
      </w:tblGrid>
      <w:tr w:rsidR="008B75C9" w14:paraId="300AD5EE" w14:textId="77777777">
        <w:trPr>
          <w:trHeight w:val="190"/>
        </w:trPr>
        <w:tc>
          <w:tcPr>
            <w:tcW w:w="3632" w:type="dxa"/>
            <w:tcBorders>
              <w:top w:val="nil"/>
              <w:left w:val="nil"/>
              <w:bottom w:val="nil"/>
              <w:right w:val="nil"/>
            </w:tcBorders>
          </w:tcPr>
          <w:p w14:paraId="059D4F09" w14:textId="77777777" w:rsidR="008B75C9" w:rsidRDefault="00000000">
            <w:pPr>
              <w:spacing w:after="0"/>
            </w:pPr>
            <w:r>
              <w:rPr>
                <w:rFonts w:ascii="Times New Roman" w:eastAsia="Times New Roman" w:hAnsi="Times New Roman" w:cs="Times New Roman"/>
                <w:b/>
                <w:sz w:val="18"/>
              </w:rPr>
              <w:t>Aggregate Principal Amount</w:t>
            </w:r>
          </w:p>
        </w:tc>
        <w:tc>
          <w:tcPr>
            <w:tcW w:w="220" w:type="dxa"/>
            <w:tcBorders>
              <w:top w:val="nil"/>
              <w:left w:val="nil"/>
              <w:bottom w:val="nil"/>
              <w:right w:val="nil"/>
            </w:tcBorders>
          </w:tcPr>
          <w:p w14:paraId="7EEDC06B" w14:textId="77777777" w:rsidR="008B75C9" w:rsidRDefault="00000000">
            <w:pPr>
              <w:spacing w:after="0"/>
            </w:pPr>
            <w:r>
              <w:rPr>
                <w:rFonts w:ascii="Times New Roman" w:eastAsia="Times New Roman" w:hAnsi="Times New Roman" w:cs="Times New Roman"/>
                <w:sz w:val="18"/>
              </w:rPr>
              <w:t xml:space="preserve">  </w:t>
            </w:r>
          </w:p>
        </w:tc>
        <w:tc>
          <w:tcPr>
            <w:tcW w:w="7140" w:type="dxa"/>
            <w:tcBorders>
              <w:top w:val="nil"/>
              <w:left w:val="nil"/>
              <w:bottom w:val="nil"/>
              <w:right w:val="nil"/>
            </w:tcBorders>
          </w:tcPr>
          <w:p w14:paraId="01FBB2E6" w14:textId="77777777" w:rsidR="008B75C9" w:rsidRDefault="008B75C9"/>
        </w:tc>
      </w:tr>
      <w:tr w:rsidR="008B75C9" w14:paraId="27DD8718" w14:textId="77777777">
        <w:trPr>
          <w:trHeight w:val="270"/>
        </w:trPr>
        <w:tc>
          <w:tcPr>
            <w:tcW w:w="3632" w:type="dxa"/>
            <w:tcBorders>
              <w:top w:val="nil"/>
              <w:left w:val="nil"/>
              <w:bottom w:val="nil"/>
              <w:right w:val="nil"/>
            </w:tcBorders>
          </w:tcPr>
          <w:p w14:paraId="2ABDE408" w14:textId="77777777" w:rsidR="008B75C9" w:rsidRDefault="00000000">
            <w:pPr>
              <w:spacing w:after="0"/>
            </w:pPr>
            <w:r>
              <w:rPr>
                <w:rFonts w:ascii="Times New Roman" w:eastAsia="Times New Roman" w:hAnsi="Times New Roman" w:cs="Times New Roman"/>
                <w:b/>
                <w:sz w:val="18"/>
              </w:rPr>
              <w:t>Offered:</w:t>
            </w:r>
          </w:p>
        </w:tc>
        <w:tc>
          <w:tcPr>
            <w:tcW w:w="220" w:type="dxa"/>
            <w:tcBorders>
              <w:top w:val="nil"/>
              <w:left w:val="nil"/>
              <w:bottom w:val="nil"/>
              <w:right w:val="nil"/>
            </w:tcBorders>
          </w:tcPr>
          <w:p w14:paraId="51E1C5D8" w14:textId="77777777" w:rsidR="008B75C9" w:rsidRDefault="00000000">
            <w:pPr>
              <w:spacing w:after="0"/>
            </w:pPr>
            <w:r>
              <w:rPr>
                <w:rFonts w:ascii="Times New Roman" w:eastAsia="Times New Roman" w:hAnsi="Times New Roman" w:cs="Times New Roman"/>
                <w:sz w:val="18"/>
              </w:rPr>
              <w:t xml:space="preserve">  </w:t>
            </w:r>
          </w:p>
        </w:tc>
        <w:tc>
          <w:tcPr>
            <w:tcW w:w="7140" w:type="dxa"/>
            <w:tcBorders>
              <w:top w:val="nil"/>
              <w:left w:val="nil"/>
              <w:bottom w:val="nil"/>
              <w:right w:val="nil"/>
            </w:tcBorders>
          </w:tcPr>
          <w:p w14:paraId="5D6FDF7C" w14:textId="77777777" w:rsidR="008B75C9" w:rsidRDefault="00000000">
            <w:pPr>
              <w:spacing w:after="0"/>
            </w:pPr>
            <w:r>
              <w:rPr>
                <w:rFonts w:ascii="Times New Roman" w:eastAsia="Times New Roman" w:hAnsi="Times New Roman" w:cs="Times New Roman"/>
                <w:sz w:val="18"/>
              </w:rPr>
              <w:t>$1,750,000,000</w:t>
            </w:r>
          </w:p>
        </w:tc>
      </w:tr>
      <w:tr w:rsidR="008B75C9" w14:paraId="0E9EB387" w14:textId="77777777">
        <w:trPr>
          <w:trHeight w:val="324"/>
        </w:trPr>
        <w:tc>
          <w:tcPr>
            <w:tcW w:w="3632" w:type="dxa"/>
            <w:tcBorders>
              <w:top w:val="nil"/>
              <w:left w:val="nil"/>
              <w:bottom w:val="nil"/>
              <w:right w:val="nil"/>
            </w:tcBorders>
          </w:tcPr>
          <w:p w14:paraId="78945E89" w14:textId="77777777" w:rsidR="008B75C9" w:rsidRDefault="00000000">
            <w:pPr>
              <w:spacing w:after="0"/>
            </w:pPr>
            <w:r>
              <w:rPr>
                <w:rFonts w:ascii="Times New Roman" w:eastAsia="Times New Roman" w:hAnsi="Times New Roman" w:cs="Times New Roman"/>
                <w:b/>
                <w:sz w:val="18"/>
              </w:rPr>
              <w:t>Trade Date:</w:t>
            </w:r>
          </w:p>
        </w:tc>
        <w:tc>
          <w:tcPr>
            <w:tcW w:w="220" w:type="dxa"/>
            <w:tcBorders>
              <w:top w:val="nil"/>
              <w:left w:val="nil"/>
              <w:bottom w:val="nil"/>
              <w:right w:val="nil"/>
            </w:tcBorders>
          </w:tcPr>
          <w:p w14:paraId="6EFB9E29" w14:textId="77777777" w:rsidR="008B75C9" w:rsidRDefault="00000000">
            <w:pPr>
              <w:spacing w:after="0"/>
            </w:pPr>
            <w:r>
              <w:rPr>
                <w:rFonts w:ascii="Times New Roman" w:eastAsia="Times New Roman" w:hAnsi="Times New Roman" w:cs="Times New Roman"/>
                <w:sz w:val="18"/>
              </w:rPr>
              <w:t xml:space="preserve">  </w:t>
            </w:r>
          </w:p>
        </w:tc>
        <w:tc>
          <w:tcPr>
            <w:tcW w:w="7140" w:type="dxa"/>
            <w:tcBorders>
              <w:top w:val="nil"/>
              <w:left w:val="nil"/>
              <w:bottom w:val="nil"/>
              <w:right w:val="nil"/>
            </w:tcBorders>
          </w:tcPr>
          <w:p w14:paraId="45EF766B" w14:textId="77777777" w:rsidR="008B75C9" w:rsidRDefault="00000000">
            <w:pPr>
              <w:spacing w:after="0"/>
            </w:pPr>
            <w:r>
              <w:rPr>
                <w:rFonts w:ascii="Times New Roman" w:eastAsia="Times New Roman" w:hAnsi="Times New Roman" w:cs="Times New Roman"/>
                <w:sz w:val="18"/>
              </w:rPr>
              <w:t>September 8, 2025</w:t>
            </w:r>
          </w:p>
        </w:tc>
      </w:tr>
      <w:tr w:rsidR="008B75C9" w14:paraId="62A7AC36" w14:textId="77777777">
        <w:trPr>
          <w:trHeight w:val="324"/>
        </w:trPr>
        <w:tc>
          <w:tcPr>
            <w:tcW w:w="3632" w:type="dxa"/>
            <w:tcBorders>
              <w:top w:val="nil"/>
              <w:left w:val="nil"/>
              <w:bottom w:val="nil"/>
              <w:right w:val="nil"/>
            </w:tcBorders>
          </w:tcPr>
          <w:p w14:paraId="7959EE8C" w14:textId="77777777" w:rsidR="008B75C9" w:rsidRDefault="00000000">
            <w:pPr>
              <w:spacing w:after="0"/>
            </w:pPr>
            <w:r>
              <w:rPr>
                <w:rFonts w:ascii="Times New Roman" w:eastAsia="Times New Roman" w:hAnsi="Times New Roman" w:cs="Times New Roman"/>
                <w:b/>
                <w:sz w:val="18"/>
              </w:rPr>
              <w:t>Original Issue Date:</w:t>
            </w:r>
          </w:p>
        </w:tc>
        <w:tc>
          <w:tcPr>
            <w:tcW w:w="220" w:type="dxa"/>
            <w:tcBorders>
              <w:top w:val="nil"/>
              <w:left w:val="nil"/>
              <w:bottom w:val="nil"/>
              <w:right w:val="nil"/>
            </w:tcBorders>
          </w:tcPr>
          <w:p w14:paraId="0A216D05" w14:textId="77777777" w:rsidR="008B75C9" w:rsidRDefault="00000000">
            <w:pPr>
              <w:spacing w:after="0"/>
            </w:pPr>
            <w:r>
              <w:rPr>
                <w:rFonts w:ascii="Times New Roman" w:eastAsia="Times New Roman" w:hAnsi="Times New Roman" w:cs="Times New Roman"/>
                <w:sz w:val="18"/>
              </w:rPr>
              <w:t xml:space="preserve">  </w:t>
            </w:r>
          </w:p>
        </w:tc>
        <w:tc>
          <w:tcPr>
            <w:tcW w:w="7140" w:type="dxa"/>
            <w:tcBorders>
              <w:top w:val="nil"/>
              <w:left w:val="nil"/>
              <w:bottom w:val="nil"/>
              <w:right w:val="nil"/>
            </w:tcBorders>
          </w:tcPr>
          <w:p w14:paraId="3F600B8B" w14:textId="77777777" w:rsidR="008B75C9" w:rsidRDefault="00000000">
            <w:pPr>
              <w:spacing w:after="0"/>
            </w:pPr>
            <w:r>
              <w:rPr>
                <w:rFonts w:ascii="Times New Roman" w:eastAsia="Times New Roman" w:hAnsi="Times New Roman" w:cs="Times New Roman"/>
                <w:sz w:val="18"/>
              </w:rPr>
              <w:t>September 15, 2025 (T+5)</w:t>
            </w:r>
          </w:p>
        </w:tc>
      </w:tr>
      <w:tr w:rsidR="008B75C9" w14:paraId="2449CD60" w14:textId="77777777">
        <w:trPr>
          <w:trHeight w:val="755"/>
        </w:trPr>
        <w:tc>
          <w:tcPr>
            <w:tcW w:w="3632" w:type="dxa"/>
            <w:tcBorders>
              <w:top w:val="nil"/>
              <w:left w:val="nil"/>
              <w:bottom w:val="nil"/>
              <w:right w:val="nil"/>
            </w:tcBorders>
          </w:tcPr>
          <w:p w14:paraId="55866FDA" w14:textId="77777777" w:rsidR="008B75C9" w:rsidRDefault="00000000">
            <w:pPr>
              <w:spacing w:after="0"/>
            </w:pPr>
            <w:proofErr w:type="gramStart"/>
            <w:r>
              <w:rPr>
                <w:rFonts w:ascii="Times New Roman" w:eastAsia="Times New Roman" w:hAnsi="Times New Roman" w:cs="Times New Roman"/>
                <w:b/>
                <w:sz w:val="18"/>
              </w:rPr>
              <w:t>Stated Maturity</w:t>
            </w:r>
            <w:proofErr w:type="gramEnd"/>
            <w:r>
              <w:rPr>
                <w:rFonts w:ascii="Times New Roman" w:eastAsia="Times New Roman" w:hAnsi="Times New Roman" w:cs="Times New Roman"/>
                <w:b/>
                <w:sz w:val="18"/>
              </w:rPr>
              <w:t xml:space="preserve"> Date:</w:t>
            </w:r>
          </w:p>
        </w:tc>
        <w:tc>
          <w:tcPr>
            <w:tcW w:w="220" w:type="dxa"/>
            <w:tcBorders>
              <w:top w:val="nil"/>
              <w:left w:val="nil"/>
              <w:bottom w:val="nil"/>
              <w:right w:val="nil"/>
            </w:tcBorders>
            <w:vAlign w:val="bottom"/>
          </w:tcPr>
          <w:p w14:paraId="217DEF0A" w14:textId="77777777" w:rsidR="008B75C9" w:rsidRDefault="00000000">
            <w:pPr>
              <w:spacing w:after="0"/>
            </w:pPr>
            <w:r>
              <w:rPr>
                <w:rFonts w:ascii="Times New Roman" w:eastAsia="Times New Roman" w:hAnsi="Times New Roman" w:cs="Times New Roman"/>
                <w:sz w:val="18"/>
              </w:rPr>
              <w:t xml:space="preserve">  </w:t>
            </w:r>
          </w:p>
        </w:tc>
        <w:tc>
          <w:tcPr>
            <w:tcW w:w="7140" w:type="dxa"/>
            <w:tcBorders>
              <w:top w:val="nil"/>
              <w:left w:val="nil"/>
              <w:bottom w:val="nil"/>
              <w:right w:val="nil"/>
            </w:tcBorders>
          </w:tcPr>
          <w:p w14:paraId="77481B3C" w14:textId="77777777" w:rsidR="008B75C9" w:rsidRDefault="00000000">
            <w:pPr>
              <w:spacing w:after="0"/>
            </w:pPr>
            <w:r>
              <w:rPr>
                <w:rFonts w:ascii="Times New Roman" w:eastAsia="Times New Roman" w:hAnsi="Times New Roman" w:cs="Times New Roman"/>
                <w:sz w:val="18"/>
              </w:rPr>
              <w:t>September 15, 2036; on the stated maturity date, the holders of the notes will be entitled to receive a cash payment in U.S. dollars equal to 100% of the principal amount of the notes plus any accrued and unpaid interest.</w:t>
            </w:r>
          </w:p>
        </w:tc>
      </w:tr>
      <w:tr w:rsidR="008B75C9" w14:paraId="683A0C89" w14:textId="77777777">
        <w:trPr>
          <w:trHeight w:val="891"/>
        </w:trPr>
        <w:tc>
          <w:tcPr>
            <w:tcW w:w="3632" w:type="dxa"/>
            <w:tcBorders>
              <w:top w:val="nil"/>
              <w:left w:val="nil"/>
              <w:bottom w:val="nil"/>
              <w:right w:val="nil"/>
            </w:tcBorders>
          </w:tcPr>
          <w:p w14:paraId="3E58AA07" w14:textId="77777777" w:rsidR="008B75C9" w:rsidRDefault="00000000">
            <w:pPr>
              <w:spacing w:after="0"/>
            </w:pPr>
            <w:r>
              <w:rPr>
                <w:rFonts w:ascii="Times New Roman" w:eastAsia="Times New Roman" w:hAnsi="Times New Roman" w:cs="Times New Roman"/>
                <w:b/>
                <w:sz w:val="18"/>
              </w:rPr>
              <w:t>Optional Redemption:</w:t>
            </w:r>
          </w:p>
        </w:tc>
        <w:tc>
          <w:tcPr>
            <w:tcW w:w="220" w:type="dxa"/>
            <w:tcBorders>
              <w:top w:val="nil"/>
              <w:left w:val="nil"/>
              <w:bottom w:val="nil"/>
              <w:right w:val="nil"/>
            </w:tcBorders>
            <w:vAlign w:val="bottom"/>
          </w:tcPr>
          <w:p w14:paraId="6A7F9353" w14:textId="77777777" w:rsidR="008B75C9" w:rsidRDefault="00000000">
            <w:pPr>
              <w:spacing w:after="0"/>
            </w:pPr>
            <w:r>
              <w:rPr>
                <w:rFonts w:ascii="Times New Roman" w:eastAsia="Times New Roman" w:hAnsi="Times New Roman" w:cs="Times New Roman"/>
                <w:sz w:val="18"/>
              </w:rPr>
              <w:t xml:space="preserve">  </w:t>
            </w:r>
          </w:p>
        </w:tc>
        <w:tc>
          <w:tcPr>
            <w:tcW w:w="7140" w:type="dxa"/>
            <w:tcBorders>
              <w:top w:val="nil"/>
              <w:left w:val="nil"/>
              <w:bottom w:val="nil"/>
              <w:right w:val="nil"/>
            </w:tcBorders>
          </w:tcPr>
          <w:p w14:paraId="3B43CD9D" w14:textId="77777777" w:rsidR="008B75C9" w:rsidRDefault="00000000">
            <w:pPr>
              <w:spacing w:after="0"/>
            </w:pPr>
            <w:r>
              <w:rPr>
                <w:rFonts w:ascii="Times New Roman" w:eastAsia="Times New Roman" w:hAnsi="Times New Roman" w:cs="Times New Roman"/>
                <w:sz w:val="18"/>
              </w:rPr>
              <w:t>At our option, we may redeem the notes (</w:t>
            </w:r>
            <w:proofErr w:type="spellStart"/>
            <w:r>
              <w:rPr>
                <w:rFonts w:ascii="Times New Roman" w:eastAsia="Times New Roman" w:hAnsi="Times New Roman" w:cs="Times New Roman"/>
                <w:sz w:val="18"/>
              </w:rPr>
              <w:t>i</w:t>
            </w:r>
            <w:proofErr w:type="spellEnd"/>
            <w:r>
              <w:rPr>
                <w:rFonts w:ascii="Times New Roman" w:eastAsia="Times New Roman" w:hAnsi="Times New Roman" w:cs="Times New Roman"/>
                <w:sz w:val="18"/>
              </w:rPr>
              <w:t>) in whole, but not in part, on September 15, 2035 (the</w:t>
            </w:r>
          </w:p>
          <w:p w14:paraId="3333E08B" w14:textId="77777777" w:rsidR="008B75C9" w:rsidRDefault="00000000">
            <w:pPr>
              <w:spacing w:after="0"/>
            </w:pPr>
            <w:r>
              <w:rPr>
                <w:rFonts w:ascii="Times New Roman" w:eastAsia="Times New Roman" w:hAnsi="Times New Roman" w:cs="Times New Roman"/>
                <w:sz w:val="18"/>
              </w:rPr>
              <w:t>“</w:t>
            </w:r>
            <w:r>
              <w:rPr>
                <w:rFonts w:ascii="Times New Roman" w:eastAsia="Times New Roman" w:hAnsi="Times New Roman" w:cs="Times New Roman"/>
                <w:sz w:val="18"/>
                <w:u w:val="single" w:color="000000"/>
              </w:rPr>
              <w:t>First Par Call Date</w:t>
            </w:r>
            <w:r>
              <w:rPr>
                <w:rFonts w:ascii="Times New Roman" w:eastAsia="Times New Roman" w:hAnsi="Times New Roman" w:cs="Times New Roman"/>
                <w:sz w:val="18"/>
              </w:rPr>
              <w:t>”) or (ii) in whole at any time or in part from time to time, on or after June 15, 2036, in each case at a redemption price equal to 100% of the principal amount of the notes being redeemed plus accrued and unpaid interest thereon to, but excluding, the date of such redemption.</w:t>
            </w:r>
          </w:p>
        </w:tc>
      </w:tr>
    </w:tbl>
    <w:p w14:paraId="15FFCE05" w14:textId="77777777" w:rsidR="008B75C9" w:rsidRDefault="00000000">
      <w:pPr>
        <w:spacing w:after="108" w:line="249" w:lineRule="auto"/>
        <w:ind w:left="3617" w:firstLine="210"/>
      </w:pPr>
      <w:r>
        <w:rPr>
          <w:rFonts w:ascii="Times New Roman" w:eastAsia="Times New Roman" w:hAnsi="Times New Roman" w:cs="Times New Roman"/>
          <w:sz w:val="18"/>
        </w:rPr>
        <w:t>At our option, we may also redeem the notes, in whole at any time or in part from time to time, on any day included in the Make-Whole Redemption Period (as defined below), at a redemption price calculated as described under “Description of Debt Securities—Redemption and Repayment—   Optional Make-Whole Redemption of Debt Securities.”</w:t>
      </w:r>
    </w:p>
    <w:p w14:paraId="118F5F06" w14:textId="77777777" w:rsidR="008B75C9" w:rsidRDefault="00000000">
      <w:pPr>
        <w:spacing w:after="103" w:line="254" w:lineRule="auto"/>
        <w:ind w:left="3588" w:right="4404" w:hanging="10"/>
        <w:jc w:val="center"/>
      </w:pPr>
      <w:r>
        <w:rPr>
          <w:rFonts w:ascii="Times New Roman" w:eastAsia="Times New Roman" w:hAnsi="Times New Roman" w:cs="Times New Roman"/>
          <w:sz w:val="18"/>
        </w:rPr>
        <w:t xml:space="preserve">  As used in connection with the notes:</w:t>
      </w:r>
    </w:p>
    <w:p w14:paraId="5552BA35" w14:textId="774FD235" w:rsidR="00D94B53" w:rsidRDefault="00000000" w:rsidP="00D94B53">
      <w:pPr>
        <w:spacing w:after="27" w:line="249" w:lineRule="auto"/>
        <w:ind w:left="3617" w:right="264" w:firstLine="210"/>
      </w:pPr>
      <w:r>
        <w:rPr>
          <w:rFonts w:ascii="Times New Roman" w:eastAsia="Times New Roman" w:hAnsi="Times New Roman" w:cs="Times New Roman"/>
          <w:sz w:val="18"/>
        </w:rPr>
        <w:t>The “</w:t>
      </w:r>
      <w:r>
        <w:rPr>
          <w:rFonts w:ascii="Times New Roman" w:eastAsia="Times New Roman" w:hAnsi="Times New Roman" w:cs="Times New Roman"/>
          <w:sz w:val="18"/>
          <w:u w:val="single" w:color="000000"/>
        </w:rPr>
        <w:t>Make-Whole Redem</w:t>
      </w:r>
      <w:r>
        <w:rPr>
          <w:rFonts w:ascii="Times New Roman" w:eastAsia="Times New Roman" w:hAnsi="Times New Roman" w:cs="Times New Roman"/>
          <w:sz w:val="18"/>
        </w:rPr>
        <w:t>p</w:t>
      </w:r>
      <w:r>
        <w:rPr>
          <w:rFonts w:ascii="Times New Roman" w:eastAsia="Times New Roman" w:hAnsi="Times New Roman" w:cs="Times New Roman"/>
          <w:sz w:val="18"/>
          <w:u w:val="single" w:color="000000"/>
        </w:rPr>
        <w:t>tion Period</w:t>
      </w:r>
      <w:r>
        <w:rPr>
          <w:rFonts w:ascii="Times New Roman" w:eastAsia="Times New Roman" w:hAnsi="Times New Roman" w:cs="Times New Roman"/>
          <w:sz w:val="18"/>
        </w:rPr>
        <w:t xml:space="preserve">” is the period commencing on, and </w:t>
      </w:r>
      <w:proofErr w:type="gramStart"/>
      <w:r>
        <w:rPr>
          <w:rFonts w:ascii="Times New Roman" w:eastAsia="Times New Roman" w:hAnsi="Times New Roman" w:cs="Times New Roman"/>
          <w:sz w:val="18"/>
        </w:rPr>
        <w:t xml:space="preserve">including,   </w:t>
      </w:r>
      <w:proofErr w:type="gramEnd"/>
      <w:r>
        <w:rPr>
          <w:rFonts w:ascii="Times New Roman" w:eastAsia="Times New Roman" w:hAnsi="Times New Roman" w:cs="Times New Roman"/>
          <w:sz w:val="18"/>
        </w:rPr>
        <w:t xml:space="preserve">September 22, </w:t>
      </w:r>
      <w:proofErr w:type="gramStart"/>
      <w:r>
        <w:rPr>
          <w:rFonts w:ascii="Times New Roman" w:eastAsia="Times New Roman" w:hAnsi="Times New Roman" w:cs="Times New Roman"/>
          <w:sz w:val="18"/>
        </w:rPr>
        <w:t>2026</w:t>
      </w:r>
      <w:proofErr w:type="gramEnd"/>
      <w:r>
        <w:rPr>
          <w:rFonts w:ascii="Times New Roman" w:eastAsia="Times New Roman" w:hAnsi="Times New Roman" w:cs="Times New Roman"/>
          <w:sz w:val="18"/>
        </w:rPr>
        <w:t xml:space="preserve"> and ending on, and including, September 14, 2035.</w:t>
      </w:r>
    </w:p>
    <w:p w14:paraId="60CE9A36" w14:textId="275752FB" w:rsidR="00D94B53" w:rsidRDefault="00D94B53" w:rsidP="00D94B53">
      <w:pPr>
        <w:spacing w:after="1753"/>
        <w:jc w:val="center"/>
        <w:rPr>
          <w:rFonts w:ascii="Times New Roman" w:hAnsi="Times New Roman" w:cs="Times New Roman"/>
          <w:i/>
          <w:iCs/>
        </w:rPr>
      </w:pPr>
      <w:r w:rsidRPr="00D94B53">
        <w:rPr>
          <w:rFonts w:ascii="Times New Roman" w:hAnsi="Times New Roman" w:cs="Times New Roman"/>
          <w:i/>
          <w:iCs/>
          <w:noProof/>
        </w:rPr>
        <mc:AlternateContent>
          <mc:Choice Requires="wps">
            <w:drawing>
              <wp:anchor distT="45720" distB="45720" distL="114300" distR="114300" simplePos="0" relativeHeight="251659264" behindDoc="0" locked="0" layoutInCell="1" allowOverlap="1" wp14:anchorId="5C171C88" wp14:editId="55AE9671">
                <wp:simplePos x="0" y="0"/>
                <wp:positionH relativeFrom="margin">
                  <wp:align>center</wp:align>
                </wp:positionH>
                <wp:positionV relativeFrom="paragraph">
                  <wp:posOffset>554355</wp:posOffset>
                </wp:positionV>
                <wp:extent cx="2360930" cy="1404620"/>
                <wp:effectExtent l="0" t="0" r="2349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6CE9207D" w14:textId="23744BCE" w:rsidR="00D94B53" w:rsidRPr="00D94B53" w:rsidRDefault="00D94B53" w:rsidP="00D94B53">
                            <w:pPr>
                              <w:jc w:val="center"/>
                              <w:rPr>
                                <w:rFonts w:ascii="Times New Roman" w:hAnsi="Times New Roman" w:cs="Times New Roman"/>
                                <w:i/>
                                <w:iCs/>
                              </w:rPr>
                            </w:pPr>
                            <w:r w:rsidRPr="00D94B53">
                              <w:rPr>
                                <w:rFonts w:ascii="Times New Roman" w:hAnsi="Times New Roman" w:cs="Times New Roman"/>
                                <w:i/>
                                <w:iCs/>
                              </w:rPr>
                              <w:t>Co-Manager</w:t>
                            </w:r>
                          </w:p>
                          <w:p w14:paraId="1B013C50" w14:textId="07D549F5" w:rsidR="00D94B53" w:rsidRPr="00D94B53" w:rsidRDefault="00D94B53" w:rsidP="00D94B53">
                            <w:pPr>
                              <w:jc w:val="center"/>
                              <w:rPr>
                                <w:rFonts w:ascii="Times New Roman" w:hAnsi="Times New Roman" w:cs="Times New Roman"/>
                                <w:b/>
                                <w:bCs/>
                              </w:rPr>
                            </w:pPr>
                            <w:r w:rsidRPr="00D94B53">
                              <w:rPr>
                                <w:rFonts w:ascii="Times New Roman" w:hAnsi="Times New Roman" w:cs="Times New Roman"/>
                                <w:b/>
                                <w:bCs/>
                              </w:rPr>
                              <w:t>Great Pacific Securities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171C88" id="_x0000_t202" coordsize="21600,21600" o:spt="202" path="m,l,21600r21600,l21600,xe">
                <v:stroke joinstyle="miter"/>
                <v:path gradientshapeok="t" o:connecttype="rect"/>
              </v:shapetype>
              <v:shape id="Text Box 2" o:spid="_x0000_s1026" type="#_x0000_t202" style="position:absolute;left:0;text-align:left;margin-left:0;margin-top:43.65pt;width:185.9pt;height:110.6pt;z-index:25165926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" strokecolor="white [3212]">
                <v:textbox style="mso-fit-shape-to-text:t">
                  <w:txbxContent>
                    <w:p w14:paraId="6CE9207D" w14:textId="23744BCE" w:rsidR="00D94B53" w:rsidRPr="00D94B53" w:rsidRDefault="00D94B53" w:rsidP="00D94B53">
                      <w:pPr>
                        <w:jc w:val="center"/>
                        <w:rPr>
                          <w:rFonts w:ascii="Times New Roman" w:hAnsi="Times New Roman" w:cs="Times New Roman"/>
                          <w:i/>
                          <w:iCs/>
                        </w:rPr>
                      </w:pPr>
                      <w:r w:rsidRPr="00D94B53">
                        <w:rPr>
                          <w:rFonts w:ascii="Times New Roman" w:hAnsi="Times New Roman" w:cs="Times New Roman"/>
                          <w:i/>
                          <w:iCs/>
                        </w:rPr>
                        <w:t>Co-Manager</w:t>
                      </w:r>
                    </w:p>
                    <w:p w14:paraId="1B013C50" w14:textId="07D549F5" w:rsidR="00D94B53" w:rsidRPr="00D94B53" w:rsidRDefault="00D94B53" w:rsidP="00D94B53">
                      <w:pPr>
                        <w:jc w:val="center"/>
                        <w:rPr>
                          <w:rFonts w:ascii="Times New Roman" w:hAnsi="Times New Roman" w:cs="Times New Roman"/>
                          <w:b/>
                          <w:bCs/>
                        </w:rPr>
                      </w:pPr>
                      <w:r w:rsidRPr="00D94B53">
                        <w:rPr>
                          <w:rFonts w:ascii="Times New Roman" w:hAnsi="Times New Roman" w:cs="Times New Roman"/>
                          <w:b/>
                          <w:bCs/>
                        </w:rPr>
                        <w:t>Great Pacific Securities</w:t>
                      </w:r>
                    </w:p>
                  </w:txbxContent>
                </v:textbox>
                <w10:wrap type="square" anchorx="margin"/>
              </v:shape>
            </w:pict>
          </mc:Fallback>
        </mc:AlternateContent>
      </w:r>
    </w:p>
    <w:p w14:paraId="700BB06C" w14:textId="77777777" w:rsidR="00D94B53" w:rsidRPr="00D94B53" w:rsidRDefault="00D94B53" w:rsidP="00D94B53">
      <w:pPr>
        <w:spacing w:after="1753"/>
        <w:rPr>
          <w:rFonts w:ascii="Times New Roman" w:hAnsi="Times New Roman" w:cs="Times New Roman"/>
          <w:i/>
          <w:iCs/>
        </w:rPr>
      </w:pPr>
    </w:p>
    <w:p w14:paraId="48801CDE" w14:textId="77777777" w:rsidR="008B75C9" w:rsidRDefault="00000000">
      <w:pPr>
        <w:spacing w:after="0"/>
      </w:pPr>
      <w:r>
        <w:rPr>
          <w:rFonts w:ascii="Times New Roman" w:eastAsia="Times New Roman" w:hAnsi="Times New Roman" w:cs="Times New Roman"/>
          <w:sz w:val="216"/>
        </w:rPr>
        <w:lastRenderedPageBreak/>
        <w:t xml:space="preserve"> </w:t>
      </w:r>
    </w:p>
    <w:sectPr w:rsidR="008B75C9">
      <w:pgSz w:w="12240" w:h="15840"/>
      <w:pgMar w:top="1440" w:right="555" w:bottom="1440" w:left="6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5C9"/>
    <w:rsid w:val="008B75C9"/>
    <w:rsid w:val="00AD7A33"/>
    <w:rsid w:val="00D9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9968"/>
  <w15:docId w15:val="{33DBEDFE-2117-4424-A7A3-DE08602C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424B2</dc:title>
  <dc:subject/>
  <dc:creator>Alex Coleman</dc:creator>
  <cp:keywords/>
  <cp:lastModifiedBy>Alex Coleman</cp:lastModifiedBy>
  <cp:revision>2</cp:revision>
  <dcterms:created xsi:type="dcterms:W3CDTF">2025-09-26T18:40:00Z</dcterms:created>
  <dcterms:modified xsi:type="dcterms:W3CDTF">2025-09-26T18:40:00Z</dcterms:modified>
</cp:coreProperties>
</file>